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210032">
        <w:rPr>
          <w:rFonts w:cs="Arial"/>
          <w:sz w:val="24"/>
          <w:szCs w:val="24"/>
        </w:rPr>
        <w:t>ng #86</w:t>
      </w:r>
      <w:r w:rsidRPr="00CE74C5">
        <w:rPr>
          <w:rFonts w:cs="Arial"/>
          <w:sz w:val="24"/>
          <w:szCs w:val="24"/>
        </w:rPr>
        <w:tab/>
        <w:t>R4-18</w:t>
      </w:r>
      <w:r w:rsidR="00D905C7">
        <w:rPr>
          <w:rFonts w:eastAsia="SimSun" w:cs="Arial"/>
          <w:sz w:val="24"/>
          <w:szCs w:val="24"/>
          <w:lang w:eastAsia="zh-CN"/>
        </w:rPr>
        <w:t>01776</w:t>
      </w:r>
    </w:p>
    <w:p w:rsidR="00CE74C5" w:rsidRPr="00CE74C5" w:rsidRDefault="00210032"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w:t>
      </w:r>
      <w:r w:rsidR="00CE74C5" w:rsidRPr="00CE74C5">
        <w:rPr>
          <w:rFonts w:eastAsia="SimSun" w:hint="eastAsia"/>
          <w:sz w:val="24"/>
          <w:szCs w:val="24"/>
          <w:lang w:eastAsia="zh-CN"/>
        </w:rPr>
        <w:t xml:space="preserve">, </w:t>
      </w:r>
      <w:r>
        <w:rPr>
          <w:rFonts w:eastAsia="SimSun"/>
          <w:sz w:val="24"/>
          <w:szCs w:val="24"/>
          <w:lang w:eastAsia="zh-CN"/>
        </w:rPr>
        <w:t>Greece, 26 Feb</w:t>
      </w:r>
      <w:r w:rsidR="00CE74C5" w:rsidRPr="00CE74C5">
        <w:rPr>
          <w:rFonts w:eastAsia="SimSun"/>
          <w:sz w:val="24"/>
          <w:szCs w:val="24"/>
          <w:lang w:eastAsia="zh-CN"/>
        </w:rPr>
        <w:t xml:space="preserve"> </w:t>
      </w:r>
      <w:r w:rsidR="00CE74C5" w:rsidRPr="00CE74C5">
        <w:rPr>
          <w:rFonts w:eastAsia="SimSun" w:hint="eastAsia"/>
          <w:sz w:val="24"/>
          <w:szCs w:val="24"/>
          <w:lang w:eastAsia="zh-CN"/>
        </w:rPr>
        <w:t xml:space="preserve">- </w:t>
      </w:r>
      <w:r>
        <w:rPr>
          <w:rFonts w:eastAsia="SimSun"/>
          <w:sz w:val="24"/>
          <w:szCs w:val="24"/>
          <w:lang w:eastAsia="zh-CN"/>
        </w:rPr>
        <w:t>2</w:t>
      </w:r>
      <w:r w:rsidR="00CE74C5" w:rsidRPr="00CE74C5">
        <w:rPr>
          <w:rFonts w:eastAsia="SimSun" w:hint="eastAsia"/>
          <w:sz w:val="24"/>
          <w:szCs w:val="24"/>
          <w:lang w:eastAsia="zh-CN"/>
        </w:rPr>
        <w:t xml:space="preserve"> </w:t>
      </w:r>
      <w:r>
        <w:rPr>
          <w:rFonts w:eastAsia="SimSun"/>
          <w:sz w:val="24"/>
          <w:szCs w:val="24"/>
          <w:lang w:eastAsia="zh-CN"/>
        </w:rPr>
        <w:t>Mar</w:t>
      </w:r>
      <w:r w:rsidR="00CE74C5" w:rsidRPr="00CE74C5">
        <w:rPr>
          <w:rFonts w:eastAsia="SimSun"/>
          <w:sz w:val="24"/>
          <w:szCs w:val="24"/>
          <w:lang w:eastAsia="zh-CN"/>
        </w:rPr>
        <w:t>,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D905C7">
        <w:rPr>
          <w:rFonts w:ascii="Arial" w:hAnsi="Arial"/>
          <w:sz w:val="24"/>
          <w:lang w:val="en-US"/>
        </w:rPr>
        <w:t>7.4.7.3</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05C7">
        <w:rPr>
          <w:rFonts w:ascii="Arial" w:hAnsi="Arial"/>
          <w:sz w:val="24"/>
          <w:lang w:val="en-US"/>
        </w:rPr>
        <w:t>On almost contiguous allocation MPR for CP-OFDM</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6228B1" w:rsidRPr="00651E7E" w:rsidRDefault="00651E7E" w:rsidP="006228B1">
      <w:pPr>
        <w:rPr>
          <w:rFonts w:ascii="Arial" w:hAnsi="Arial" w:cs="Arial"/>
          <w:lang w:val="en-US"/>
        </w:rPr>
      </w:pPr>
      <w:r>
        <w:rPr>
          <w:rFonts w:ascii="Arial" w:hAnsi="Arial" w:cs="Arial"/>
          <w:lang w:val="en-US"/>
        </w:rPr>
        <w:t xml:space="preserve">The concept of almost contiguous allocation MPR for CP-OFDM [1] was discussed in last </w:t>
      </w:r>
      <w:r w:rsidR="006D33BC">
        <w:rPr>
          <w:rFonts w:ascii="Arial" w:hAnsi="Arial" w:cs="Arial"/>
          <w:lang w:val="en-US"/>
        </w:rPr>
        <w:t>meeting. In this contribution, we present our view on it.</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6D33BC" w:rsidRDefault="00C21889" w:rsidP="004A1D8D">
      <w:pPr>
        <w:rPr>
          <w:rFonts w:ascii="Arial" w:hAnsi="Arial" w:cs="Arial"/>
        </w:rPr>
      </w:pPr>
      <w:r w:rsidRPr="006D33BC">
        <w:rPr>
          <w:rFonts w:ascii="Arial" w:hAnsi="Arial" w:cs="Arial"/>
          <w:noProof/>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340116</wp:posOffset>
                </wp:positionV>
                <wp:extent cx="6101715" cy="1019810"/>
                <wp:effectExtent l="0" t="0" r="1333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019810"/>
                        </a:xfrm>
                        <a:prstGeom prst="rect">
                          <a:avLst/>
                        </a:prstGeom>
                        <a:solidFill>
                          <a:srgbClr val="FFFFFF"/>
                        </a:solidFill>
                        <a:ln w="9525">
                          <a:solidFill>
                            <a:srgbClr val="000000"/>
                          </a:solidFill>
                          <a:miter lim="800000"/>
                          <a:headEnd/>
                          <a:tailEnd/>
                        </a:ln>
                      </wps:spPr>
                      <wps:txbx>
                        <w:txbxContent>
                          <w:p w:rsidR="006D33BC" w:rsidRPr="006D33BC" w:rsidRDefault="006D33BC" w:rsidP="006D33BC">
                            <w:pPr>
                              <w:ind w:left="540"/>
                              <w:rPr>
                                <w:color w:val="000000"/>
                              </w:rPr>
                            </w:pPr>
                            <w:r w:rsidRPr="006D33BC">
                              <w:rPr>
                                <w:b/>
                                <w:bCs/>
                                <w:color w:val="000000"/>
                              </w:rPr>
                              <w:t xml:space="preserve">Agreement: </w:t>
                            </w:r>
                          </w:p>
                          <w:p w:rsidR="006D33BC" w:rsidRPr="006D33BC" w:rsidRDefault="006D33BC" w:rsidP="006D33BC">
                            <w:pPr>
                              <w:numPr>
                                <w:ilvl w:val="0"/>
                                <w:numId w:val="12"/>
                              </w:numPr>
                              <w:spacing w:after="0"/>
                              <w:ind w:left="540"/>
                              <w:textAlignment w:val="center"/>
                              <w:rPr>
                                <w:rFonts w:ascii="Calibri" w:hAnsi="Calibri" w:cs="Calibri"/>
                                <w:color w:val="000000"/>
                                <w:sz w:val="22"/>
                                <w:szCs w:val="22"/>
                              </w:rPr>
                            </w:pPr>
                            <w:r w:rsidRPr="006D33BC">
                              <w:rPr>
                                <w:b/>
                                <w:bCs/>
                                <w:color w:val="000000"/>
                              </w:rPr>
                              <w:t>Almost contiguous signal is defined by setting minimum bandwidth for the signal (</w:t>
                            </w:r>
                            <w:proofErr w:type="spellStart"/>
                            <w:r w:rsidRPr="006D33BC">
                              <w:rPr>
                                <w:b/>
                                <w:bCs/>
                                <w:color w:val="000000"/>
                              </w:rPr>
                              <w:t>Lcrb</w:t>
                            </w:r>
                            <w:proofErr w:type="spellEnd"/>
                            <w:r w:rsidRPr="006D33BC">
                              <w:rPr>
                                <w:b/>
                                <w:bCs/>
                                <w:color w:val="000000"/>
                              </w:rPr>
                              <w:t xml:space="preserve"> &gt; </w:t>
                            </w:r>
                            <w:proofErr w:type="spellStart"/>
                            <w:r w:rsidRPr="006D33BC">
                              <w:rPr>
                                <w:b/>
                                <w:bCs/>
                                <w:color w:val="000000"/>
                              </w:rPr>
                              <w:t>LCRBmax</w:t>
                            </w:r>
                            <w:proofErr w:type="spellEnd"/>
                            <w:r w:rsidRPr="006D33BC">
                              <w:rPr>
                                <w:b/>
                                <w:bCs/>
                                <w:color w:val="000000"/>
                              </w:rPr>
                              <w:t xml:space="preserve"> / A) and maximum number of puncture RB’s (</w:t>
                            </w:r>
                            <w:proofErr w:type="spellStart"/>
                            <w:r w:rsidRPr="006D33BC">
                              <w:rPr>
                                <w:b/>
                                <w:bCs/>
                                <w:color w:val="000000"/>
                              </w:rPr>
                              <w:t>Lcrb</w:t>
                            </w:r>
                            <w:proofErr w:type="spellEnd"/>
                            <w:r w:rsidRPr="006D33BC">
                              <w:rPr>
                                <w:b/>
                                <w:bCs/>
                                <w:color w:val="000000"/>
                              </w:rPr>
                              <w:t>/B) within the almost contiguous signal.</w:t>
                            </w:r>
                          </w:p>
                          <w:p w:rsidR="006D33BC" w:rsidRPr="006D33BC" w:rsidRDefault="006D33BC" w:rsidP="006D33BC">
                            <w:pPr>
                              <w:numPr>
                                <w:ilvl w:val="1"/>
                                <w:numId w:val="12"/>
                              </w:numPr>
                              <w:spacing w:after="0"/>
                              <w:ind w:left="1080"/>
                              <w:textAlignment w:val="center"/>
                              <w:rPr>
                                <w:color w:val="000000"/>
                              </w:rPr>
                            </w:pPr>
                            <w:r w:rsidRPr="006D33BC">
                              <w:rPr>
                                <w:b/>
                                <w:bCs/>
                                <w:color w:val="000000"/>
                              </w:rPr>
                              <w:t>Companies are encouraged to provide proposal to A and B for the next RAN 4 meeting,</w:t>
                            </w:r>
                          </w:p>
                          <w:p w:rsidR="006D33BC" w:rsidRPr="006D33BC" w:rsidRDefault="006D33BC" w:rsidP="006D33BC">
                            <w:pPr>
                              <w:numPr>
                                <w:ilvl w:val="0"/>
                                <w:numId w:val="12"/>
                              </w:numPr>
                              <w:spacing w:after="0"/>
                              <w:ind w:left="540"/>
                              <w:textAlignment w:val="center"/>
                              <w:rPr>
                                <w:color w:val="000000"/>
                              </w:rPr>
                            </w:pPr>
                            <w:r w:rsidRPr="006D33BC">
                              <w:rPr>
                                <w:b/>
                                <w:bCs/>
                                <w:color w:val="000000"/>
                              </w:rPr>
                              <w:t>Other methods to define almost contiguous are not precluded.</w:t>
                            </w:r>
                          </w:p>
                          <w:p w:rsidR="006D33BC" w:rsidRDefault="006D33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26.8pt;width:480.45pt;height:80.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">
                <v:textbox>
                  <w:txbxContent>
                    <w:p w14:paraId="01C05CC2" w14:textId="77777777" w:rsidR="006D33BC" w:rsidRPr="006D33BC" w:rsidRDefault="006D33BC" w:rsidP="006D33BC">
                      <w:pPr>
                        <w:ind w:left="540"/>
                        <w:rPr>
                          <w:color w:val="000000"/>
                        </w:rPr>
                      </w:pPr>
                      <w:r w:rsidRPr="006D33BC">
                        <w:rPr>
                          <w:b/>
                          <w:bCs/>
                          <w:color w:val="000000"/>
                        </w:rPr>
                        <w:t xml:space="preserve">Agreement: </w:t>
                      </w:r>
                    </w:p>
                    <w:p w14:paraId="4BB337B9" w14:textId="77777777" w:rsidR="006D33BC" w:rsidRPr="006D33BC" w:rsidRDefault="006D33BC" w:rsidP="006D33BC">
                      <w:pPr>
                        <w:numPr>
                          <w:ilvl w:val="0"/>
                          <w:numId w:val="12"/>
                        </w:numPr>
                        <w:spacing w:after="0"/>
                        <w:ind w:left="540"/>
                        <w:textAlignment w:val="center"/>
                        <w:rPr>
                          <w:rFonts w:ascii="Calibri" w:hAnsi="Calibri" w:cs="Calibri"/>
                          <w:color w:val="000000"/>
                          <w:sz w:val="22"/>
                          <w:szCs w:val="22"/>
                        </w:rPr>
                      </w:pPr>
                      <w:r w:rsidRPr="006D33BC">
                        <w:rPr>
                          <w:b/>
                          <w:bCs/>
                          <w:color w:val="000000"/>
                        </w:rPr>
                        <w:t>Almost contiguous signal is defined by setting minimum bandwidth for the signal (Lcrb &gt; LCRBmax / A) and maximum number of puncture RB’s (Lcrb/B) within the almost contiguous signal.</w:t>
                      </w:r>
                    </w:p>
                    <w:p w14:paraId="356D855C" w14:textId="77777777" w:rsidR="006D33BC" w:rsidRPr="006D33BC" w:rsidRDefault="006D33BC" w:rsidP="006D33BC">
                      <w:pPr>
                        <w:numPr>
                          <w:ilvl w:val="1"/>
                          <w:numId w:val="12"/>
                        </w:numPr>
                        <w:spacing w:after="0"/>
                        <w:ind w:left="1080"/>
                        <w:textAlignment w:val="center"/>
                        <w:rPr>
                          <w:color w:val="000000"/>
                        </w:rPr>
                      </w:pPr>
                      <w:r w:rsidRPr="006D33BC">
                        <w:rPr>
                          <w:b/>
                          <w:bCs/>
                          <w:color w:val="000000"/>
                        </w:rPr>
                        <w:t>Companies are encouraged to provide proposal to A and B for the next RAN 4 meeting,</w:t>
                      </w:r>
                    </w:p>
                    <w:p w14:paraId="45A1DA09" w14:textId="77777777" w:rsidR="006D33BC" w:rsidRPr="006D33BC" w:rsidRDefault="006D33BC" w:rsidP="006D33BC">
                      <w:pPr>
                        <w:numPr>
                          <w:ilvl w:val="0"/>
                          <w:numId w:val="12"/>
                        </w:numPr>
                        <w:spacing w:after="0"/>
                        <w:ind w:left="540"/>
                        <w:textAlignment w:val="center"/>
                        <w:rPr>
                          <w:color w:val="000000"/>
                        </w:rPr>
                      </w:pPr>
                      <w:r w:rsidRPr="006D33BC">
                        <w:rPr>
                          <w:b/>
                          <w:bCs/>
                          <w:color w:val="000000"/>
                        </w:rPr>
                        <w:t>Other methods to define almost contiguous are not precluded.</w:t>
                      </w:r>
                    </w:p>
                    <w:p w14:paraId="6D366D46" w14:textId="77777777" w:rsidR="006D33BC" w:rsidRDefault="006D33BC"/>
                  </w:txbxContent>
                </v:textbox>
                <w10:wrap type="square" anchorx="margin"/>
              </v:shape>
            </w:pict>
          </mc:Fallback>
        </mc:AlternateContent>
      </w:r>
      <w:r w:rsidR="006D33BC">
        <w:rPr>
          <w:rFonts w:ascii="Arial" w:hAnsi="Arial" w:cs="Arial"/>
        </w:rPr>
        <w:t>During l</w:t>
      </w:r>
      <w:r w:rsidR="0027489D">
        <w:rPr>
          <w:rFonts w:ascii="Arial" w:hAnsi="Arial" w:cs="Arial"/>
        </w:rPr>
        <w:t xml:space="preserve">ast </w:t>
      </w:r>
      <w:r>
        <w:rPr>
          <w:rFonts w:ascii="Arial" w:hAnsi="Arial" w:cs="Arial"/>
        </w:rPr>
        <w:t xml:space="preserve">RAN4 </w:t>
      </w:r>
      <w:r w:rsidR="0027489D">
        <w:rPr>
          <w:rFonts w:ascii="Arial" w:hAnsi="Arial" w:cs="Arial"/>
        </w:rPr>
        <w:t>meeti</w:t>
      </w:r>
      <w:r w:rsidR="006D33BC">
        <w:rPr>
          <w:rFonts w:ascii="Arial" w:hAnsi="Arial" w:cs="Arial"/>
        </w:rPr>
        <w:t xml:space="preserve">ng, the agreement regarding almost contiguous allocation was captured in chairman note. </w:t>
      </w:r>
    </w:p>
    <w:p w:rsidR="006D33BC" w:rsidRDefault="006D33BC" w:rsidP="004A1D8D">
      <w:pPr>
        <w:rPr>
          <w:rFonts w:ascii="Arial" w:hAnsi="Arial" w:cs="Arial"/>
        </w:rPr>
      </w:pPr>
    </w:p>
    <w:p w:rsidR="00C21889" w:rsidRPr="00FD06C0" w:rsidRDefault="00C21889" w:rsidP="004A1D8D">
      <w:pPr>
        <w:rPr>
          <w:rFonts w:ascii="Arial" w:hAnsi="Arial" w:cs="Arial"/>
        </w:rPr>
      </w:pPr>
      <w:r w:rsidRPr="00FD06C0">
        <w:rPr>
          <w:rFonts w:ascii="Arial" w:hAnsi="Arial" w:cs="Arial"/>
        </w:rPr>
        <w:t>We performed some simulations to evaluate the impact of the gap</w:t>
      </w:r>
      <w:r w:rsidR="00B817C6" w:rsidRPr="00FD06C0">
        <w:rPr>
          <w:rFonts w:ascii="Arial" w:hAnsi="Arial" w:cs="Arial"/>
        </w:rPr>
        <w:t xml:space="preserve"> within contiguous RB allocations</w:t>
      </w:r>
      <w:r w:rsidRPr="00FD06C0">
        <w:rPr>
          <w:rFonts w:ascii="Arial" w:hAnsi="Arial" w:cs="Arial"/>
        </w:rPr>
        <w:t xml:space="preserve"> on the MPR requirements.</w:t>
      </w:r>
    </w:p>
    <w:p w:rsidR="004E1E12" w:rsidRDefault="004E1E12" w:rsidP="004E1E12">
      <w:pPr>
        <w:pStyle w:val="Heading2"/>
      </w:pPr>
      <w:r>
        <w:t>IBE issue</w:t>
      </w:r>
    </w:p>
    <w:p w:rsidR="0027489D" w:rsidRPr="00FD06C0" w:rsidRDefault="00C21889" w:rsidP="004A1D8D">
      <w:pPr>
        <w:rPr>
          <w:rFonts w:ascii="Arial" w:hAnsi="Arial" w:cs="Arial"/>
        </w:rPr>
      </w:pPr>
      <w:r w:rsidRPr="00FD06C0">
        <w:rPr>
          <w:rFonts w:ascii="Arial" w:hAnsi="Arial" w:cs="Arial"/>
        </w:rPr>
        <w:t>Before</w:t>
      </w:r>
      <w:r w:rsidR="00981CD1" w:rsidRPr="00FD06C0">
        <w:rPr>
          <w:rFonts w:ascii="Arial" w:hAnsi="Arial" w:cs="Arial"/>
        </w:rPr>
        <w:t xml:space="preserve"> </w:t>
      </w:r>
      <w:r w:rsidRPr="00FD06C0">
        <w:rPr>
          <w:rFonts w:ascii="Arial" w:hAnsi="Arial" w:cs="Arial"/>
        </w:rPr>
        <w:t xml:space="preserve">the simulation, an issue was identified – </w:t>
      </w:r>
      <w:r w:rsidR="00305BD7">
        <w:rPr>
          <w:rFonts w:ascii="Arial" w:hAnsi="Arial" w:cs="Arial"/>
        </w:rPr>
        <w:t>Whether or not</w:t>
      </w:r>
      <w:r w:rsidR="00BF790F" w:rsidRPr="00FD06C0">
        <w:rPr>
          <w:rFonts w:ascii="Arial" w:hAnsi="Arial" w:cs="Arial"/>
        </w:rPr>
        <w:t xml:space="preserve"> to apply IBE for </w:t>
      </w:r>
      <w:r w:rsidR="00305BD7">
        <w:rPr>
          <w:rFonts w:ascii="Arial" w:hAnsi="Arial" w:cs="Arial"/>
        </w:rPr>
        <w:t xml:space="preserve">unallocated RBs within </w:t>
      </w:r>
      <w:r w:rsidR="00BF790F" w:rsidRPr="00FD06C0">
        <w:rPr>
          <w:rFonts w:ascii="Arial" w:hAnsi="Arial" w:cs="Arial"/>
        </w:rPr>
        <w:t xml:space="preserve">the gap. If IBE requirement </w:t>
      </w:r>
      <w:r w:rsidR="00781322" w:rsidRPr="00FD06C0">
        <w:rPr>
          <w:rFonts w:ascii="Arial" w:hAnsi="Arial" w:cs="Arial"/>
        </w:rPr>
        <w:t>is</w:t>
      </w:r>
      <w:r w:rsidR="00BF790F" w:rsidRPr="00FD06C0">
        <w:rPr>
          <w:rFonts w:ascii="Arial" w:hAnsi="Arial" w:cs="Arial"/>
        </w:rPr>
        <w:t xml:space="preserve"> not specified for the RBs within the gap, there could be potential is</w:t>
      </w:r>
      <w:r w:rsidR="004F7256" w:rsidRPr="00FD06C0">
        <w:rPr>
          <w:rFonts w:ascii="Arial" w:hAnsi="Arial" w:cs="Arial"/>
        </w:rPr>
        <w:t>sue for co-existence with other UEs.</w:t>
      </w:r>
      <w:r w:rsidR="00B817C6" w:rsidRPr="00FD06C0">
        <w:rPr>
          <w:rFonts w:ascii="Arial" w:hAnsi="Arial" w:cs="Arial"/>
        </w:rPr>
        <w:t xml:space="preserve"> </w:t>
      </w:r>
      <w:r w:rsidR="00981CD1" w:rsidRPr="00FD06C0">
        <w:rPr>
          <w:rFonts w:ascii="Arial" w:hAnsi="Arial" w:cs="Arial"/>
        </w:rPr>
        <w:t>In IBE general term in 36.101</w:t>
      </w:r>
      <w:r w:rsidR="000C729A" w:rsidRPr="00FD06C0">
        <w:rPr>
          <w:rFonts w:ascii="Arial" w:hAnsi="Arial" w:cs="Arial"/>
        </w:rPr>
        <w:t xml:space="preserve">, copied below, </w:t>
      </w:r>
      <m:oMath>
        <m:sSub>
          <m:sSubPr>
            <m:ctrlPr>
              <w:rPr>
                <w:rFonts w:ascii="Cambria Math" w:hAnsi="Cambria Math" w:cs="Arial"/>
                <w:i/>
              </w:rPr>
            </m:ctrlPr>
          </m:sSubPr>
          <m:e>
            <m:r>
              <w:rPr>
                <w:rFonts w:ascii="Cambria Math" w:hAnsi="Cambria Math" w:cs="Arial"/>
              </w:rPr>
              <m:t>L</m:t>
            </m:r>
          </m:e>
          <m:sub>
            <m:r>
              <w:rPr>
                <w:rFonts w:ascii="Cambria Math" w:hAnsi="Cambria Math" w:cs="Arial"/>
              </w:rPr>
              <m:t>CRB</m:t>
            </m:r>
          </m:sub>
        </m:sSub>
      </m:oMath>
      <w:r w:rsidR="000C729A" w:rsidRPr="00FD06C0">
        <w:rPr>
          <w:rFonts w:ascii="Arial" w:hAnsi="Arial" w:cs="Arial"/>
        </w:rPr>
        <w:t xml:space="preserve"> is </w:t>
      </w:r>
      <w:r w:rsidR="00305BD7">
        <w:rPr>
          <w:rFonts w:ascii="Arial" w:hAnsi="Arial" w:cs="Arial"/>
        </w:rPr>
        <w:t xml:space="preserve">defined as the transmission </w:t>
      </w:r>
      <w:r w:rsidR="00305BD7" w:rsidRPr="00207D3F">
        <w:rPr>
          <w:rFonts w:ascii="Arial" w:hAnsi="Arial" w:cs="Arial"/>
        </w:rPr>
        <w:t>b</w:t>
      </w:r>
      <w:r w:rsidR="000C729A" w:rsidRPr="00207D3F">
        <w:rPr>
          <w:rFonts w:ascii="Arial" w:hAnsi="Arial" w:cs="Arial"/>
        </w:rPr>
        <w:t>andwidth</w:t>
      </w:r>
      <w:r w:rsidR="00207D3F" w:rsidRPr="00207D3F">
        <w:rPr>
          <w:rFonts w:ascii="Arial" w:hAnsi="Arial" w:cs="Arial"/>
        </w:rPr>
        <w:t xml:space="preserve"> which represents t</w:t>
      </w:r>
      <w:r w:rsidR="00207D3F" w:rsidRPr="00207D3F">
        <w:rPr>
          <w:rFonts w:ascii="Arial" w:hAnsi="Arial" w:cs="Arial"/>
          <w:szCs w:val="18"/>
        </w:rPr>
        <w:t>he length of a contiguous resource block allocation expressed in units of resources blocks</w:t>
      </w:r>
      <w:r w:rsidR="00207D3F">
        <w:rPr>
          <w:rFonts w:ascii="Arial" w:hAnsi="Arial" w:cs="Arial"/>
          <w:szCs w:val="18"/>
        </w:rPr>
        <w:t xml:space="preserve"> [2]</w:t>
      </w:r>
      <w:r w:rsidR="00FD06C0" w:rsidRPr="00207D3F">
        <w:rPr>
          <w:rFonts w:ascii="Arial" w:hAnsi="Arial" w:cs="Arial"/>
        </w:rPr>
        <w:t>.</w:t>
      </w:r>
    </w:p>
    <w:p w:rsidR="00981CD1" w:rsidRDefault="00981CD1" w:rsidP="000C729A">
      <w:pPr>
        <w:jc w:val="center"/>
        <w:rPr>
          <w:rFonts w:ascii="Arial" w:hAnsi="Arial" w:cs="Arial"/>
        </w:rPr>
      </w:pPr>
      <w:r w:rsidRPr="00CB62BE">
        <w:rPr>
          <w:rFonts w:cs="Arial"/>
          <w:position w:val="-50"/>
        </w:rPr>
        <w:object w:dxaOrig="398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45pt" o:ole="">
            <v:imagedata r:id="rId8" o:title=""/>
          </v:shape>
          <o:OLEObject Type="Embed" ProgID="Equation.3" ShapeID="_x0000_i1025" DrawAspect="Content" ObjectID="_1580535498" r:id="rId9"/>
        </w:object>
      </w:r>
    </w:p>
    <w:p w:rsidR="00981CD1" w:rsidRDefault="00FD06C0" w:rsidP="004A1D8D">
      <w:pPr>
        <w:rPr>
          <w:rFonts w:ascii="Arial" w:hAnsi="Arial" w:cs="Arial"/>
        </w:rPr>
      </w:pPr>
      <w:r>
        <w:rPr>
          <w:rFonts w:ascii="Arial" w:hAnsi="Arial" w:cs="Arial"/>
        </w:rPr>
        <w:t xml:space="preserve">If gap exists, </w:t>
      </w:r>
      <w:r w:rsidR="00305BD7">
        <w:rPr>
          <w:rFonts w:ascii="Arial" w:hAnsi="Arial" w:cs="Arial"/>
        </w:rPr>
        <w:t>three questions have to be answered</w:t>
      </w:r>
      <w:r w:rsidR="00C0586D">
        <w:rPr>
          <w:rFonts w:ascii="Arial" w:hAnsi="Arial" w:cs="Arial"/>
        </w:rPr>
        <w:t xml:space="preserve"> in the order</w:t>
      </w:r>
      <w:r w:rsidR="00305BD7">
        <w:rPr>
          <w:rFonts w:ascii="Arial" w:hAnsi="Arial" w:cs="Arial"/>
        </w:rPr>
        <w:t>:</w:t>
      </w:r>
      <w:r w:rsidR="00F57DC0">
        <w:rPr>
          <w:rFonts w:ascii="Arial" w:hAnsi="Arial" w:cs="Arial"/>
        </w:rPr>
        <w:t xml:space="preserve"> 1) </w:t>
      </w:r>
      <w:r w:rsidR="00305BD7">
        <w:rPr>
          <w:rFonts w:ascii="Arial" w:hAnsi="Arial" w:cs="Arial"/>
        </w:rPr>
        <w:t>Whether or not to apply IBE for the unallocated RBs within the gap</w:t>
      </w:r>
      <w:r w:rsidR="00C0586D">
        <w:rPr>
          <w:rFonts w:ascii="Arial" w:hAnsi="Arial" w:cs="Arial"/>
        </w:rPr>
        <w:t>, i</w:t>
      </w:r>
      <w:r w:rsidR="00305BD7">
        <w:rPr>
          <w:rFonts w:ascii="Arial" w:hAnsi="Arial" w:cs="Arial"/>
        </w:rPr>
        <w:t>f yes, two further questions follow</w:t>
      </w:r>
      <w:r w:rsidR="00C0586D">
        <w:rPr>
          <w:rFonts w:ascii="Arial" w:hAnsi="Arial" w:cs="Arial"/>
        </w:rPr>
        <w:t>, 2</w:t>
      </w:r>
      <w:r w:rsidR="00305BD7">
        <w:rPr>
          <w:rFonts w:ascii="Arial" w:hAnsi="Arial" w:cs="Arial"/>
        </w:rPr>
        <w:t xml:space="preserve">) </w:t>
      </w:r>
      <w:r>
        <w:rPr>
          <w:rFonts w:ascii="Arial" w:hAnsi="Arial" w:cs="Arial"/>
        </w:rPr>
        <w:t xml:space="preserve">how </w:t>
      </w:r>
      <w:r w:rsidR="00F57DC0">
        <w:rPr>
          <w:rFonts w:ascii="Arial" w:hAnsi="Arial" w:cs="Arial"/>
        </w:rPr>
        <w:t xml:space="preserve">is </w:t>
      </w:r>
      <m:oMath>
        <m:sSub>
          <m:sSubPr>
            <m:ctrlPr>
              <w:rPr>
                <w:rFonts w:ascii="Cambria Math" w:hAnsi="Cambria Math" w:cs="Arial"/>
                <w:i/>
              </w:rPr>
            </m:ctrlPr>
          </m:sSubPr>
          <m:e>
            <m:r>
              <w:rPr>
                <w:rFonts w:ascii="Cambria Math" w:hAnsi="Cambria Math" w:cs="Arial"/>
              </w:rPr>
              <m:t>L</m:t>
            </m:r>
          </m:e>
          <m:sub>
            <m:r>
              <w:rPr>
                <w:rFonts w:ascii="Cambria Math" w:hAnsi="Cambria Math" w:cs="Arial"/>
              </w:rPr>
              <m:t>CRB</m:t>
            </m:r>
          </m:sub>
        </m:sSub>
      </m:oMath>
      <w:r>
        <w:rPr>
          <w:rFonts w:ascii="Arial" w:hAnsi="Arial" w:cs="Arial"/>
        </w:rPr>
        <w:t xml:space="preserve"> cal</w:t>
      </w:r>
      <w:r w:rsidR="00305BD7">
        <w:rPr>
          <w:rFonts w:ascii="Arial" w:hAnsi="Arial" w:cs="Arial"/>
        </w:rPr>
        <w:t>culated</w:t>
      </w:r>
      <w:r w:rsidR="00C0586D">
        <w:rPr>
          <w:rFonts w:ascii="Arial" w:hAnsi="Arial" w:cs="Arial"/>
        </w:rPr>
        <w:t xml:space="preserve">? </w:t>
      </w:r>
      <w:r w:rsidR="00305BD7">
        <w:rPr>
          <w:rFonts w:ascii="Arial" w:hAnsi="Arial" w:cs="Arial"/>
        </w:rPr>
        <w:t xml:space="preserve"> 3) How to apply IBE to the RBs within the gap.</w:t>
      </w:r>
    </w:p>
    <w:p w:rsidR="004E1E12" w:rsidRDefault="00C0586D" w:rsidP="004A1D8D">
      <w:pPr>
        <w:rPr>
          <w:rFonts w:cs="Arial"/>
        </w:rPr>
      </w:pPr>
      <w:r>
        <w:rPr>
          <w:rFonts w:ascii="Arial" w:hAnsi="Arial" w:cs="Arial"/>
        </w:rPr>
        <w:t>In our simulations, we monitored the IBE for the RBs within the gap</w:t>
      </w:r>
      <w:r w:rsidR="001E3ED1">
        <w:rPr>
          <w:rFonts w:ascii="Arial" w:hAnsi="Arial" w:cs="Arial"/>
        </w:rPr>
        <w:t xml:space="preserve"> in addition to the non-allocated RBs outside of the almost contiguous RBs</w:t>
      </w:r>
      <w:r>
        <w:rPr>
          <w:rFonts w:ascii="Arial" w:hAnsi="Arial" w:cs="Arial"/>
        </w:rPr>
        <w:t xml:space="preserve">. </w:t>
      </w:r>
      <m:oMath>
        <m:sSub>
          <m:sSubPr>
            <m:ctrlPr>
              <w:rPr>
                <w:rFonts w:ascii="Cambria Math" w:hAnsi="Cambria Math" w:cs="Arial"/>
                <w:i/>
              </w:rPr>
            </m:ctrlPr>
          </m:sSubPr>
          <m:e>
            <m:r>
              <w:rPr>
                <w:rFonts w:ascii="Cambria Math" w:hAnsi="Cambria Math" w:cs="Arial"/>
              </w:rPr>
              <m:t>L</m:t>
            </m:r>
          </m:e>
          <m:sub>
            <m:r>
              <w:rPr>
                <w:rFonts w:ascii="Cambria Math" w:hAnsi="Cambria Math" w:cs="Arial"/>
              </w:rPr>
              <m:t>CRB</m:t>
            </m:r>
          </m:sub>
        </m:sSub>
      </m:oMath>
      <w:r w:rsidR="004E1E12">
        <w:rPr>
          <w:rFonts w:ascii="Arial" w:hAnsi="Arial" w:cs="Arial"/>
        </w:rPr>
        <w:t xml:space="preserve"> is considered as the number of populated RBs. And </w:t>
      </w:r>
      <m:oMath>
        <m:sSub>
          <m:sSubPr>
            <m:ctrlPr>
              <w:rPr>
                <w:rFonts w:ascii="Cambria Math" w:hAnsi="Cambria Math" w:cs="Arial"/>
                <w:i/>
              </w:rPr>
            </m:ctrlPr>
          </m:sSubPr>
          <m:e>
            <m:r>
              <w:rPr>
                <w:rFonts w:ascii="Cambria Math" w:hAnsi="Cambria Math" w:cs="Arial"/>
              </w:rPr>
              <m:t>∆</m:t>
            </m:r>
          </m:e>
          <m:sub>
            <m:r>
              <w:rPr>
                <w:rFonts w:ascii="Cambria Math" w:hAnsi="Cambria Math" w:cs="Arial"/>
              </w:rPr>
              <m:t>RB</m:t>
            </m:r>
          </m:sub>
        </m:sSub>
      </m:oMath>
      <w:r w:rsidR="004E1E12">
        <w:rPr>
          <w:rFonts w:ascii="Arial" w:hAnsi="Arial" w:cs="Arial"/>
        </w:rPr>
        <w:t xml:space="preserve"> </w:t>
      </w:r>
      <w:r w:rsidR="004E1E12" w:rsidRPr="004E1E12">
        <w:rPr>
          <w:rFonts w:ascii="Arial" w:hAnsi="Arial" w:cs="Arial"/>
        </w:rPr>
        <w:t>is the frequency offset</w:t>
      </w:r>
      <w:r w:rsidR="004E1E12">
        <w:rPr>
          <w:rFonts w:ascii="Arial" w:hAnsi="Arial" w:cs="Arial"/>
        </w:rPr>
        <w:t xml:space="preserve"> in unit of RB</w:t>
      </w:r>
      <w:r w:rsidR="004E1E12" w:rsidRPr="004E1E12">
        <w:rPr>
          <w:rFonts w:ascii="Arial" w:hAnsi="Arial" w:cs="Arial"/>
        </w:rPr>
        <w:t xml:space="preserve"> between the measured non-allocated RB</w:t>
      </w:r>
      <w:r w:rsidR="000560DE">
        <w:rPr>
          <w:rFonts w:ascii="Arial" w:hAnsi="Arial" w:cs="Arial"/>
        </w:rPr>
        <w:t xml:space="preserve"> (weather or not within the gap)</w:t>
      </w:r>
      <w:r w:rsidR="004E1E12" w:rsidRPr="004E1E12">
        <w:rPr>
          <w:rFonts w:ascii="Arial" w:hAnsi="Arial" w:cs="Arial"/>
        </w:rPr>
        <w:t xml:space="preserve"> and the closest allocated RB</w:t>
      </w:r>
      <w:r w:rsidR="001E3ED1">
        <w:rPr>
          <w:rFonts w:cs="Arial"/>
        </w:rPr>
        <w:t>.</w:t>
      </w:r>
    </w:p>
    <w:p w:rsidR="004E1E12" w:rsidRDefault="004E1E12" w:rsidP="004E1E12">
      <w:pPr>
        <w:pStyle w:val="Heading2"/>
      </w:pPr>
      <w:r>
        <w:t>Simulation results</w:t>
      </w:r>
      <w:r w:rsidR="001E3ED1">
        <w:t xml:space="preserve"> and proposal</w:t>
      </w:r>
    </w:p>
    <w:p w:rsidR="00AA5A71" w:rsidRDefault="004E1E12" w:rsidP="004A1D8D">
      <w:pPr>
        <w:rPr>
          <w:rFonts w:ascii="Arial" w:hAnsi="Arial" w:cs="Arial"/>
        </w:rPr>
      </w:pPr>
      <w:r>
        <w:rPr>
          <w:rFonts w:ascii="Arial" w:hAnsi="Arial" w:cs="Arial"/>
        </w:rPr>
        <w:t>We captur</w:t>
      </w:r>
      <w:r w:rsidR="008B0317">
        <w:rPr>
          <w:rFonts w:ascii="Arial" w:hAnsi="Arial" w:cs="Arial"/>
        </w:rPr>
        <w:t xml:space="preserve">ed the additional power backoff </w:t>
      </w:r>
      <w:r>
        <w:rPr>
          <w:rFonts w:ascii="Arial" w:hAnsi="Arial" w:cs="Arial"/>
        </w:rPr>
        <w:t xml:space="preserve">needed </w:t>
      </w:r>
      <w:r w:rsidR="007A6130">
        <w:rPr>
          <w:rFonts w:ascii="Arial" w:hAnsi="Arial" w:cs="Arial"/>
        </w:rPr>
        <w:t>by comparing</w:t>
      </w:r>
      <w:r w:rsidR="008B0317">
        <w:rPr>
          <w:rFonts w:ascii="Arial" w:hAnsi="Arial" w:cs="Arial"/>
        </w:rPr>
        <w:t xml:space="preserve"> with power backoff without gap</w:t>
      </w:r>
      <w:r w:rsidR="008B0317">
        <w:rPr>
          <w:rFonts w:ascii="Arial" w:hAnsi="Arial" w:cs="Arial"/>
        </w:rPr>
        <w:t xml:space="preserve"> with</w:t>
      </w:r>
      <w:r w:rsidR="00387EF2">
        <w:rPr>
          <w:rFonts w:ascii="Arial" w:hAnsi="Arial" w:cs="Arial"/>
        </w:rPr>
        <w:t xml:space="preserve"> different </w:t>
      </w:r>
      <w:r w:rsidR="008B0317">
        <w:rPr>
          <w:rFonts w:ascii="Arial" w:hAnsi="Arial" w:cs="Arial"/>
        </w:rPr>
        <w:t xml:space="preserve">parameter </w:t>
      </w:r>
      <w:r w:rsidR="00387EF2">
        <w:rPr>
          <w:rFonts w:ascii="Arial" w:hAnsi="Arial" w:cs="Arial"/>
        </w:rPr>
        <w:t>A and B values.</w:t>
      </w:r>
    </w:p>
    <w:p w:rsidR="002228AD" w:rsidRDefault="002228AD" w:rsidP="002228AD">
      <w:pPr>
        <w:pStyle w:val="Caption"/>
        <w:jc w:val="center"/>
        <w:rPr>
          <w:rFonts w:ascii="Arial" w:hAnsi="Arial" w:cs="Arial"/>
        </w:rP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Extra power backoff vs parameter A and B</w:t>
      </w:r>
    </w:p>
    <w:tbl>
      <w:tblPr>
        <w:tblStyle w:val="TableGrid"/>
        <w:tblW w:w="0" w:type="auto"/>
        <w:jc w:val="center"/>
        <w:tblLook w:val="04A0" w:firstRow="1" w:lastRow="0" w:firstColumn="1" w:lastColumn="0" w:noHBand="0" w:noVBand="1"/>
      </w:tblPr>
      <w:tblGrid>
        <w:gridCol w:w="2515"/>
        <w:gridCol w:w="1620"/>
        <w:gridCol w:w="1636"/>
        <w:gridCol w:w="1334"/>
      </w:tblGrid>
      <w:tr w:rsidR="002228AD" w:rsidTr="002228AD">
        <w:trPr>
          <w:trHeight w:val="170"/>
          <w:jc w:val="center"/>
        </w:trPr>
        <w:tc>
          <w:tcPr>
            <w:tcW w:w="2515" w:type="dxa"/>
          </w:tcPr>
          <w:p w:rsidR="002228AD" w:rsidRDefault="002228AD" w:rsidP="004A1D8D">
            <w:pPr>
              <w:rPr>
                <w:rFonts w:ascii="Arial" w:hAnsi="Arial" w:cs="Arial"/>
              </w:rPr>
            </w:pPr>
            <w:r>
              <w:rPr>
                <w:rFonts w:ascii="Arial" w:hAnsi="Arial" w:cs="Arial"/>
              </w:rPr>
              <w:t>Parameters</w:t>
            </w:r>
          </w:p>
        </w:tc>
        <w:tc>
          <w:tcPr>
            <w:tcW w:w="1620" w:type="dxa"/>
          </w:tcPr>
          <w:p w:rsidR="002228AD" w:rsidRDefault="002228AD" w:rsidP="002228AD">
            <w:pPr>
              <w:jc w:val="center"/>
              <w:rPr>
                <w:rFonts w:ascii="Arial" w:hAnsi="Arial" w:cs="Arial"/>
              </w:rPr>
            </w:pPr>
            <w:r>
              <w:rPr>
                <w:rFonts w:ascii="Arial" w:hAnsi="Arial" w:cs="Arial"/>
              </w:rPr>
              <w:t>A= 3, B=7</w:t>
            </w:r>
          </w:p>
        </w:tc>
        <w:tc>
          <w:tcPr>
            <w:tcW w:w="1636" w:type="dxa"/>
          </w:tcPr>
          <w:p w:rsidR="002228AD" w:rsidRDefault="002228AD" w:rsidP="002228AD">
            <w:pPr>
              <w:jc w:val="center"/>
              <w:rPr>
                <w:rFonts w:ascii="Arial" w:hAnsi="Arial" w:cs="Arial"/>
              </w:rPr>
            </w:pPr>
            <w:r>
              <w:rPr>
                <w:rFonts w:ascii="Arial" w:hAnsi="Arial" w:cs="Arial"/>
              </w:rPr>
              <w:t>A=3, B=6</w:t>
            </w:r>
          </w:p>
        </w:tc>
        <w:tc>
          <w:tcPr>
            <w:tcW w:w="1334" w:type="dxa"/>
          </w:tcPr>
          <w:p w:rsidR="002228AD" w:rsidRDefault="002228AD" w:rsidP="002228AD">
            <w:pPr>
              <w:jc w:val="center"/>
              <w:rPr>
                <w:rFonts w:ascii="Arial" w:hAnsi="Arial" w:cs="Arial"/>
              </w:rPr>
            </w:pPr>
            <w:r>
              <w:rPr>
                <w:rFonts w:ascii="Arial" w:hAnsi="Arial" w:cs="Arial"/>
              </w:rPr>
              <w:t>A=3, B=3</w:t>
            </w:r>
          </w:p>
        </w:tc>
      </w:tr>
      <w:tr w:rsidR="002228AD" w:rsidTr="002228AD">
        <w:trPr>
          <w:trHeight w:val="50"/>
          <w:jc w:val="center"/>
        </w:trPr>
        <w:tc>
          <w:tcPr>
            <w:tcW w:w="2515" w:type="dxa"/>
          </w:tcPr>
          <w:p w:rsidR="002228AD" w:rsidRDefault="002228AD" w:rsidP="004A1D8D">
            <w:pPr>
              <w:rPr>
                <w:rFonts w:ascii="Arial" w:hAnsi="Arial" w:cs="Arial"/>
              </w:rPr>
            </w:pPr>
            <w:r>
              <w:rPr>
                <w:rFonts w:ascii="Arial" w:hAnsi="Arial" w:cs="Arial"/>
              </w:rPr>
              <w:t>Extra power backoff (dB)</w:t>
            </w:r>
          </w:p>
        </w:tc>
        <w:tc>
          <w:tcPr>
            <w:tcW w:w="1620" w:type="dxa"/>
          </w:tcPr>
          <w:p w:rsidR="002228AD" w:rsidRDefault="002228AD" w:rsidP="002228AD">
            <w:pPr>
              <w:jc w:val="center"/>
              <w:rPr>
                <w:rFonts w:ascii="Arial" w:hAnsi="Arial" w:cs="Arial"/>
              </w:rPr>
            </w:pPr>
            <w:r>
              <w:rPr>
                <w:rFonts w:ascii="Arial" w:hAnsi="Arial" w:cs="Arial"/>
              </w:rPr>
              <w:t>~0.1</w:t>
            </w:r>
          </w:p>
        </w:tc>
        <w:tc>
          <w:tcPr>
            <w:tcW w:w="1636" w:type="dxa"/>
          </w:tcPr>
          <w:p w:rsidR="002228AD" w:rsidRDefault="002228AD" w:rsidP="002228AD">
            <w:pPr>
              <w:jc w:val="center"/>
              <w:rPr>
                <w:rFonts w:ascii="Arial" w:hAnsi="Arial" w:cs="Arial"/>
              </w:rPr>
            </w:pPr>
            <w:r>
              <w:rPr>
                <w:rFonts w:ascii="Arial" w:hAnsi="Arial" w:cs="Arial"/>
              </w:rPr>
              <w:t>~0.2</w:t>
            </w:r>
          </w:p>
        </w:tc>
        <w:tc>
          <w:tcPr>
            <w:tcW w:w="1334" w:type="dxa"/>
          </w:tcPr>
          <w:p w:rsidR="002228AD" w:rsidRDefault="002228AD" w:rsidP="002228AD">
            <w:pPr>
              <w:jc w:val="center"/>
              <w:rPr>
                <w:rFonts w:ascii="Arial" w:hAnsi="Arial" w:cs="Arial"/>
              </w:rPr>
            </w:pPr>
            <w:r>
              <w:rPr>
                <w:rFonts w:ascii="Arial" w:hAnsi="Arial" w:cs="Arial"/>
              </w:rPr>
              <w:t>&gt;0.6</w:t>
            </w:r>
          </w:p>
        </w:tc>
      </w:tr>
    </w:tbl>
    <w:p w:rsidR="00AA5A71" w:rsidRDefault="00AA5A71" w:rsidP="004A1D8D">
      <w:pPr>
        <w:rPr>
          <w:rFonts w:ascii="Arial" w:hAnsi="Arial" w:cs="Arial"/>
        </w:rPr>
      </w:pPr>
    </w:p>
    <w:p w:rsidR="002228AD" w:rsidRDefault="002228AD" w:rsidP="004A1D8D">
      <w:pPr>
        <w:rPr>
          <w:rFonts w:ascii="Arial" w:hAnsi="Arial" w:cs="Arial"/>
        </w:rPr>
      </w:pPr>
      <w:r>
        <w:rPr>
          <w:rFonts w:ascii="Arial" w:hAnsi="Arial" w:cs="Arial"/>
        </w:rPr>
        <w:t xml:space="preserve">From table 1, we can </w:t>
      </w:r>
      <w:r w:rsidR="00CC4B25">
        <w:rPr>
          <w:rFonts w:ascii="Arial" w:hAnsi="Arial" w:cs="Arial"/>
        </w:rPr>
        <w:t xml:space="preserve">see that any gap in the waveforms need PA to have extra margin to meet MPR values derived for contiguous allocations. This </w:t>
      </w:r>
      <w:r w:rsidR="007A5723">
        <w:rPr>
          <w:rFonts w:ascii="Arial" w:hAnsi="Arial" w:cs="Arial"/>
        </w:rPr>
        <w:t>violates</w:t>
      </w:r>
      <w:r w:rsidR="00CC4B25">
        <w:rPr>
          <w:rFonts w:ascii="Arial" w:hAnsi="Arial" w:cs="Arial"/>
        </w:rPr>
        <w:t xml:space="preserve"> the assumption of contiguous allocations for MPR w</w:t>
      </w:r>
      <w:r w:rsidR="007A5723">
        <w:rPr>
          <w:rFonts w:ascii="Arial" w:hAnsi="Arial" w:cs="Arial"/>
        </w:rPr>
        <w:t>ork since PA has to be designed with extra margin to absorb this degradation</w:t>
      </w:r>
      <w:r w:rsidR="00AA2657">
        <w:rPr>
          <w:rFonts w:ascii="Arial" w:hAnsi="Arial" w:cs="Arial"/>
        </w:rPr>
        <w:t xml:space="preserve"> to meet current agreed MPR</w:t>
      </w:r>
      <w:r w:rsidR="007A5723">
        <w:rPr>
          <w:rFonts w:ascii="Arial" w:hAnsi="Arial" w:cs="Arial"/>
        </w:rPr>
        <w:t xml:space="preserve">. On the other hand, from MPR definition point of view, </w:t>
      </w:r>
      <w:r w:rsidR="00AA2657">
        <w:rPr>
          <w:rFonts w:ascii="Arial" w:hAnsi="Arial" w:cs="Arial"/>
        </w:rPr>
        <w:t xml:space="preserve">differentiating waveforms with gap into different categories between MPR and A-MPR may lead </w:t>
      </w:r>
      <w:r w:rsidR="008C7973">
        <w:rPr>
          <w:rFonts w:ascii="Arial" w:hAnsi="Arial" w:cs="Arial"/>
        </w:rPr>
        <w:t>confusion s</w:t>
      </w:r>
      <w:r w:rsidR="00F71A91">
        <w:rPr>
          <w:rFonts w:ascii="Arial" w:hAnsi="Arial" w:cs="Arial"/>
        </w:rPr>
        <w:t>ince for large gap within wavefor</w:t>
      </w:r>
      <w:r w:rsidR="003E3781">
        <w:rPr>
          <w:rFonts w:ascii="Arial" w:hAnsi="Arial" w:cs="Arial"/>
        </w:rPr>
        <w:t>m</w:t>
      </w:r>
      <w:r w:rsidR="00F71A91">
        <w:rPr>
          <w:rFonts w:ascii="Arial" w:hAnsi="Arial" w:cs="Arial"/>
        </w:rPr>
        <w:t xml:space="preserve"> A-MPR is </w:t>
      </w:r>
      <w:r w:rsidR="003E3781">
        <w:rPr>
          <w:rFonts w:ascii="Arial" w:hAnsi="Arial" w:cs="Arial"/>
        </w:rPr>
        <w:t xml:space="preserve">eventually </w:t>
      </w:r>
      <w:r w:rsidR="00F71A91">
        <w:rPr>
          <w:rFonts w:ascii="Arial" w:hAnsi="Arial" w:cs="Arial"/>
        </w:rPr>
        <w:t xml:space="preserve">needed. </w:t>
      </w:r>
      <w:r w:rsidR="0004059F">
        <w:rPr>
          <w:rFonts w:ascii="Arial" w:hAnsi="Arial" w:cs="Arial"/>
        </w:rPr>
        <w:t>We think</w:t>
      </w:r>
      <w:r w:rsidR="007A5723">
        <w:rPr>
          <w:rFonts w:ascii="Arial" w:hAnsi="Arial" w:cs="Arial"/>
        </w:rPr>
        <w:t xml:space="preserve"> waveforms with </w:t>
      </w:r>
      <w:r w:rsidR="008C7973">
        <w:rPr>
          <w:rFonts w:ascii="Arial" w:hAnsi="Arial" w:cs="Arial"/>
        </w:rPr>
        <w:t xml:space="preserve">any </w:t>
      </w:r>
      <w:r w:rsidR="007A5723">
        <w:rPr>
          <w:rFonts w:ascii="Arial" w:hAnsi="Arial" w:cs="Arial"/>
        </w:rPr>
        <w:t xml:space="preserve">gap should go </w:t>
      </w:r>
      <w:r w:rsidR="00AA2657">
        <w:rPr>
          <w:rFonts w:ascii="Arial" w:hAnsi="Arial" w:cs="Arial"/>
        </w:rPr>
        <w:t xml:space="preserve">with </w:t>
      </w:r>
      <w:r w:rsidR="007A5723">
        <w:rPr>
          <w:rFonts w:ascii="Arial" w:hAnsi="Arial" w:cs="Arial"/>
        </w:rPr>
        <w:t>A-M</w:t>
      </w:r>
      <w:r w:rsidR="00AA2657">
        <w:rPr>
          <w:rFonts w:ascii="Arial" w:hAnsi="Arial" w:cs="Arial"/>
        </w:rPr>
        <w:t>PR for cle</w:t>
      </w:r>
      <w:r w:rsidR="0004059F">
        <w:rPr>
          <w:rFonts w:ascii="Arial" w:hAnsi="Arial" w:cs="Arial"/>
        </w:rPr>
        <w:t>ar boundary.</w:t>
      </w:r>
      <w:r w:rsidR="007A5723">
        <w:rPr>
          <w:rFonts w:ascii="Arial" w:hAnsi="Arial" w:cs="Arial"/>
        </w:rPr>
        <w:t xml:space="preserve"> </w:t>
      </w:r>
      <w:r w:rsidR="00F71A91">
        <w:rPr>
          <w:rFonts w:ascii="Arial" w:hAnsi="Arial" w:cs="Arial"/>
        </w:rPr>
        <w:t xml:space="preserve">This </w:t>
      </w:r>
      <w:r w:rsidR="003E3781">
        <w:rPr>
          <w:rFonts w:ascii="Arial" w:hAnsi="Arial" w:cs="Arial"/>
        </w:rPr>
        <w:t>results in the</w:t>
      </w:r>
      <w:r w:rsidR="007A5723">
        <w:rPr>
          <w:rFonts w:ascii="Arial" w:hAnsi="Arial" w:cs="Arial"/>
        </w:rPr>
        <w:t xml:space="preserve"> following proposal</w:t>
      </w:r>
      <w:r w:rsidR="0004059F">
        <w:rPr>
          <w:rFonts w:ascii="Arial" w:hAnsi="Arial" w:cs="Arial"/>
        </w:rPr>
        <w:t>.</w:t>
      </w:r>
    </w:p>
    <w:p w:rsidR="0004059F" w:rsidRPr="0004059F" w:rsidRDefault="0004059F" w:rsidP="004A1D8D">
      <w:pPr>
        <w:rPr>
          <w:rFonts w:ascii="Arial" w:hAnsi="Arial" w:cs="Arial"/>
          <w:b/>
        </w:rPr>
      </w:pPr>
      <w:r w:rsidRPr="0004059F">
        <w:rPr>
          <w:rFonts w:ascii="Arial" w:hAnsi="Arial" w:cs="Arial"/>
          <w:b/>
        </w:rPr>
        <w:t xml:space="preserve">Proposal 1: A-MPR should be defined for the waveform with </w:t>
      </w:r>
      <w:r>
        <w:rPr>
          <w:rFonts w:ascii="Arial" w:hAnsi="Arial" w:cs="Arial"/>
          <w:b/>
        </w:rPr>
        <w:t>gap</w:t>
      </w:r>
      <w:r w:rsidR="00345FC9">
        <w:rPr>
          <w:rFonts w:ascii="Arial" w:hAnsi="Arial" w:cs="Arial"/>
          <w:b/>
        </w:rPr>
        <w:t>(</w:t>
      </w:r>
      <w:r>
        <w:rPr>
          <w:rFonts w:ascii="Arial" w:hAnsi="Arial" w:cs="Arial"/>
          <w:b/>
        </w:rPr>
        <w:t>s</w:t>
      </w:r>
      <w:r w:rsidR="00345FC9">
        <w:rPr>
          <w:rFonts w:ascii="Arial" w:hAnsi="Arial" w:cs="Arial"/>
          <w:b/>
        </w:rPr>
        <w:t>)</w:t>
      </w:r>
      <w:r>
        <w:rPr>
          <w:rFonts w:ascii="Arial" w:hAnsi="Arial" w:cs="Arial"/>
          <w:b/>
        </w:rPr>
        <w:t xml:space="preserve"> to</w:t>
      </w:r>
      <w:r w:rsidR="008C7973">
        <w:rPr>
          <w:rFonts w:ascii="Arial" w:hAnsi="Arial" w:cs="Arial"/>
          <w:b/>
        </w:rPr>
        <w:t xml:space="preserve"> allow additional power backoff.</w:t>
      </w:r>
      <w:bookmarkStart w:id="1" w:name="_GoBack"/>
      <w:bookmarkEnd w:id="1"/>
    </w:p>
    <w:p w:rsidR="00EE4489" w:rsidRPr="00EE4489" w:rsidRDefault="0069757C" w:rsidP="00EE4489">
      <w:pPr>
        <w:pStyle w:val="Heading1"/>
      </w:pPr>
      <w:r w:rsidRPr="002D78E7">
        <w:t>Conclusion</w:t>
      </w:r>
    </w:p>
    <w:p w:rsidR="003E3781" w:rsidRDefault="00F71A91" w:rsidP="006E1CAA">
      <w:pPr>
        <w:rPr>
          <w:rFonts w:ascii="Arial" w:hAnsi="Arial" w:cs="Arial"/>
        </w:rPr>
      </w:pPr>
      <w:r>
        <w:rPr>
          <w:rFonts w:ascii="Arial" w:hAnsi="Arial" w:cs="Arial"/>
        </w:rPr>
        <w:t xml:space="preserve">In this contribution, we present our view on almost contiguous allocation MPR for CP-OFDM. </w:t>
      </w:r>
      <w:r w:rsidR="003E3781">
        <w:rPr>
          <w:rFonts w:ascii="Arial" w:hAnsi="Arial" w:cs="Arial"/>
        </w:rPr>
        <w:t>Instead of increasing PA design margin to absorb extra power backoff to meet current MPR, we propose to apply A-MPR to the waveform with gaps. We have the following proposal.</w:t>
      </w:r>
    </w:p>
    <w:p w:rsidR="003E3781" w:rsidRPr="003E3781" w:rsidRDefault="003E3781" w:rsidP="006E1CAA">
      <w:pPr>
        <w:rPr>
          <w:rFonts w:ascii="Arial" w:hAnsi="Arial" w:cs="Arial"/>
          <w:b/>
        </w:rPr>
      </w:pPr>
      <w:r w:rsidRPr="0004059F">
        <w:rPr>
          <w:rFonts w:ascii="Arial" w:hAnsi="Arial" w:cs="Arial"/>
          <w:b/>
        </w:rPr>
        <w:t xml:space="preserve">Proposal 1: A-MPR should be defined for the waveform with </w:t>
      </w:r>
      <w:r>
        <w:rPr>
          <w:rFonts w:ascii="Arial" w:hAnsi="Arial" w:cs="Arial"/>
          <w:b/>
        </w:rPr>
        <w:t>gap</w:t>
      </w:r>
      <w:r w:rsidR="00345FC9">
        <w:rPr>
          <w:rFonts w:ascii="Arial" w:hAnsi="Arial" w:cs="Arial"/>
          <w:b/>
        </w:rPr>
        <w:t>(</w:t>
      </w:r>
      <w:r>
        <w:rPr>
          <w:rFonts w:ascii="Arial" w:hAnsi="Arial" w:cs="Arial"/>
          <w:b/>
        </w:rPr>
        <w:t>s</w:t>
      </w:r>
      <w:r w:rsidR="00345FC9">
        <w:rPr>
          <w:rFonts w:ascii="Arial" w:hAnsi="Arial" w:cs="Arial"/>
          <w:b/>
        </w:rPr>
        <w:t>)</w:t>
      </w:r>
      <w:r>
        <w:rPr>
          <w:rFonts w:ascii="Arial" w:hAnsi="Arial" w:cs="Arial"/>
          <w:b/>
        </w:rPr>
        <w:t xml:space="preserve"> to allow additional power backoff.</w:t>
      </w:r>
    </w:p>
    <w:p w:rsidR="00DD1749" w:rsidRPr="004A29CA" w:rsidRDefault="00326424" w:rsidP="004A29CA">
      <w:pPr>
        <w:pStyle w:val="Heading1"/>
      </w:pPr>
      <w:r w:rsidRPr="00A27FB1">
        <w:t>References</w:t>
      </w:r>
      <w:r w:rsidR="0063085D" w:rsidRPr="004A29CA">
        <w:rPr>
          <w:sz w:val="24"/>
          <w:szCs w:val="24"/>
          <w:lang w:val="en-US"/>
        </w:rPr>
        <w:tab/>
      </w:r>
    </w:p>
    <w:p w:rsidR="00455D0D" w:rsidRDefault="00455D0D" w:rsidP="009309E2">
      <w:pPr>
        <w:widowControl w:val="0"/>
        <w:tabs>
          <w:tab w:val="right" w:pos="9639"/>
          <w:tab w:val="right" w:pos="13323"/>
        </w:tabs>
        <w:spacing w:after="0"/>
        <w:rPr>
          <w:rFonts w:ascii="Arial" w:hAnsi="Arial" w:cs="Arial"/>
          <w:lang w:val="en-US"/>
        </w:rPr>
      </w:pPr>
    </w:p>
    <w:p w:rsidR="00A4790F" w:rsidRDefault="006D33BC" w:rsidP="009309E2">
      <w:pPr>
        <w:widowControl w:val="0"/>
        <w:tabs>
          <w:tab w:val="right" w:pos="9639"/>
          <w:tab w:val="right" w:pos="13323"/>
        </w:tabs>
        <w:spacing w:after="0"/>
        <w:rPr>
          <w:rFonts w:ascii="Arial" w:hAnsi="Arial" w:cs="Arial"/>
          <w:lang w:val="en-US"/>
        </w:rPr>
      </w:pPr>
      <w:r>
        <w:rPr>
          <w:rFonts w:ascii="Arial" w:hAnsi="Arial" w:cs="Arial"/>
          <w:lang w:val="en-US"/>
        </w:rPr>
        <w:t>[1]. R4-1800060, ‘</w:t>
      </w:r>
      <w:bookmarkStart w:id="2" w:name="_Hlk503271723"/>
      <w:r w:rsidRPr="00DF60F1">
        <w:rPr>
          <w:sz w:val="22"/>
        </w:rPr>
        <w:t>Almost contiguous</w:t>
      </w:r>
      <w:r>
        <w:rPr>
          <w:sz w:val="22"/>
        </w:rPr>
        <w:t xml:space="preserve"> allocation</w:t>
      </w:r>
      <w:r w:rsidRPr="00DF60F1">
        <w:rPr>
          <w:sz w:val="22"/>
        </w:rPr>
        <w:t xml:space="preserve"> MPR</w:t>
      </w:r>
      <w:r>
        <w:rPr>
          <w:sz w:val="22"/>
        </w:rPr>
        <w:t xml:space="preserve"> for CP-OFDM</w:t>
      </w:r>
      <w:bookmarkEnd w:id="2"/>
      <w:r>
        <w:rPr>
          <w:rFonts w:ascii="Arial" w:hAnsi="Arial" w:cs="Arial"/>
          <w:lang w:val="en-US"/>
        </w:rPr>
        <w:t xml:space="preserve">’, </w:t>
      </w:r>
      <w:r w:rsidRPr="00DF60F1">
        <w:rPr>
          <w:sz w:val="22"/>
        </w:rPr>
        <w:t>Nokia, Nokia Shanghai Bell</w:t>
      </w:r>
    </w:p>
    <w:p w:rsidR="00207D3F" w:rsidRPr="00F569EC" w:rsidRDefault="00207D3F" w:rsidP="00207D3F">
      <w:pPr>
        <w:widowControl w:val="0"/>
        <w:tabs>
          <w:tab w:val="right" w:pos="9639"/>
          <w:tab w:val="right" w:pos="13323"/>
        </w:tabs>
        <w:spacing w:after="0"/>
        <w:rPr>
          <w:rFonts w:ascii="Arial" w:hAnsi="Arial" w:cs="Arial"/>
          <w:lang w:val="en-US"/>
        </w:rPr>
      </w:pPr>
      <w:r>
        <w:rPr>
          <w:rFonts w:ascii="Arial" w:hAnsi="Arial" w:cs="Arial"/>
          <w:lang w:val="en-US"/>
        </w:rPr>
        <w:t xml:space="preserve">[2]. </w:t>
      </w:r>
      <w:r>
        <w:rPr>
          <w:rFonts w:ascii="Arial" w:eastAsia="Batang" w:hAnsi="Arial" w:cs="Arial"/>
          <w:lang w:eastAsia="zh-CN"/>
        </w:rPr>
        <w:t>TS 36.101, V15.1.0, 2017-12</w:t>
      </w:r>
    </w:p>
    <w:p w:rsidR="00A4790F" w:rsidRDefault="00A4790F" w:rsidP="00A4790F">
      <w:pPr>
        <w:rPr>
          <w:rFonts w:ascii="Arial" w:hAnsi="Arial" w:cs="Arial"/>
          <w:lang w:val="en-US"/>
        </w:rPr>
      </w:pPr>
    </w:p>
    <w:p w:rsidR="00207D3F" w:rsidRDefault="00207D3F" w:rsidP="00A4790F">
      <w:pPr>
        <w:rPr>
          <w:rFonts w:ascii="Arial" w:hAnsi="Arial" w:cs="Arial"/>
          <w:lang w:val="en-US"/>
        </w:rPr>
      </w:pPr>
    </w:p>
    <w:p w:rsidR="00207D3F" w:rsidRDefault="00207D3F" w:rsidP="00A4790F">
      <w:pPr>
        <w:rPr>
          <w:rFonts w:ascii="Arial" w:hAnsi="Arial" w:cs="Arial"/>
          <w:lang w:val="en-US"/>
        </w:rPr>
      </w:pPr>
    </w:p>
    <w:p w:rsidR="00207D3F" w:rsidRPr="00A4790F" w:rsidRDefault="00207D3F" w:rsidP="00A4790F">
      <w:pPr>
        <w:rPr>
          <w:rFonts w:ascii="Arial" w:hAnsi="Arial" w:cs="Arial"/>
          <w:lang w:val="en-US"/>
        </w:rPr>
      </w:pPr>
    </w:p>
    <w:sectPr w:rsidR="00207D3F" w:rsidRPr="00A4790F"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A03" w:rsidRDefault="004B4A03">
      <w:r>
        <w:separator/>
      </w:r>
    </w:p>
  </w:endnote>
  <w:endnote w:type="continuationSeparator" w:id="0">
    <w:p w:rsidR="004B4A03" w:rsidRDefault="004B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4790F" w:rsidRDefault="00A47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7973">
      <w:rPr>
        <w:rStyle w:val="PageNumber"/>
      </w:rPr>
      <w:t>1</w:t>
    </w:r>
    <w:r>
      <w:rPr>
        <w:rStyle w:val="PageNumber"/>
      </w:rPr>
      <w:fldChar w:fldCharType="end"/>
    </w:r>
  </w:p>
  <w:p w:rsidR="00A4790F" w:rsidRDefault="00A479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A03" w:rsidRDefault="004B4A03">
      <w:r>
        <w:separator/>
      </w:r>
    </w:p>
  </w:footnote>
  <w:footnote w:type="continuationSeparator" w:id="0">
    <w:p w:rsidR="004B4A03" w:rsidRDefault="004B4A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562F60"/>
    <w:multiLevelType w:val="hybridMultilevel"/>
    <w:tmpl w:val="D5AEF78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D1224D"/>
    <w:multiLevelType w:val="multilevel"/>
    <w:tmpl w:val="1CEAA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B0F3E"/>
    <w:multiLevelType w:val="hybridMultilevel"/>
    <w:tmpl w:val="CAA601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7"/>
  </w:num>
  <w:num w:numId="5">
    <w:abstractNumId w:val="2"/>
  </w:num>
  <w:num w:numId="6">
    <w:abstractNumId w:val="0"/>
  </w:num>
  <w:num w:numId="7">
    <w:abstractNumId w:val="8"/>
  </w:num>
  <w:num w:numId="8">
    <w:abstractNumId w:val="3"/>
  </w:num>
  <w:num w:numId="9">
    <w:abstractNumId w:val="6"/>
  </w:num>
  <w:num w:numId="10">
    <w:abstractNumId w:val="13"/>
  </w:num>
  <w:num w:numId="11">
    <w:abstractNumId w:val="1"/>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59F"/>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0DE"/>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228"/>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29A"/>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6C"/>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2F"/>
    <w:rsid w:val="001167BD"/>
    <w:rsid w:val="00116F74"/>
    <w:rsid w:val="00117240"/>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3E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07D3F"/>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28AD"/>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489D"/>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5BD7"/>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C9"/>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87EF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781"/>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A6E"/>
    <w:rsid w:val="00492597"/>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950"/>
    <w:rsid w:val="004A7B1E"/>
    <w:rsid w:val="004B09BD"/>
    <w:rsid w:val="004B1F23"/>
    <w:rsid w:val="004B23C3"/>
    <w:rsid w:val="004B36F6"/>
    <w:rsid w:val="004B3753"/>
    <w:rsid w:val="004B3A61"/>
    <w:rsid w:val="004B4139"/>
    <w:rsid w:val="004B4356"/>
    <w:rsid w:val="004B4A03"/>
    <w:rsid w:val="004B4AF1"/>
    <w:rsid w:val="004B50D1"/>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1E12"/>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56"/>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2F3C"/>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1CE"/>
    <w:rsid w:val="006173AF"/>
    <w:rsid w:val="006178BC"/>
    <w:rsid w:val="006205C1"/>
    <w:rsid w:val="00620D81"/>
    <w:rsid w:val="0062180E"/>
    <w:rsid w:val="006228B1"/>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1E7E"/>
    <w:rsid w:val="006520EC"/>
    <w:rsid w:val="006523AD"/>
    <w:rsid w:val="006523C6"/>
    <w:rsid w:val="0065251A"/>
    <w:rsid w:val="00652BD8"/>
    <w:rsid w:val="0065390D"/>
    <w:rsid w:val="0065400C"/>
    <w:rsid w:val="006551F3"/>
    <w:rsid w:val="00655E22"/>
    <w:rsid w:val="00655F3B"/>
    <w:rsid w:val="00656812"/>
    <w:rsid w:val="0065711D"/>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3BC"/>
    <w:rsid w:val="006D3D0F"/>
    <w:rsid w:val="006D4A70"/>
    <w:rsid w:val="006D5052"/>
    <w:rsid w:val="006D541C"/>
    <w:rsid w:val="006D565E"/>
    <w:rsid w:val="006D59DD"/>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1322"/>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723"/>
    <w:rsid w:val="007A5B0B"/>
    <w:rsid w:val="007A5C04"/>
    <w:rsid w:val="007A6130"/>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B00C7"/>
    <w:rsid w:val="008B031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15DD"/>
    <w:rsid w:val="008C23A2"/>
    <w:rsid w:val="008C5908"/>
    <w:rsid w:val="008C5C97"/>
    <w:rsid w:val="008C60E5"/>
    <w:rsid w:val="008C7629"/>
    <w:rsid w:val="008C7973"/>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569A"/>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276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1CD1"/>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657"/>
    <w:rsid w:val="00AA2702"/>
    <w:rsid w:val="00AA2A27"/>
    <w:rsid w:val="00AA2D16"/>
    <w:rsid w:val="00AA490F"/>
    <w:rsid w:val="00AA539D"/>
    <w:rsid w:val="00AA5550"/>
    <w:rsid w:val="00AA5A71"/>
    <w:rsid w:val="00AA7D6B"/>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3DD"/>
    <w:rsid w:val="00B778AA"/>
    <w:rsid w:val="00B806A3"/>
    <w:rsid w:val="00B81226"/>
    <w:rsid w:val="00B81794"/>
    <w:rsid w:val="00B817C6"/>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BF790F"/>
    <w:rsid w:val="00C00F1B"/>
    <w:rsid w:val="00C00F79"/>
    <w:rsid w:val="00C01104"/>
    <w:rsid w:val="00C021AE"/>
    <w:rsid w:val="00C02602"/>
    <w:rsid w:val="00C02D44"/>
    <w:rsid w:val="00C03150"/>
    <w:rsid w:val="00C04709"/>
    <w:rsid w:val="00C0586D"/>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1889"/>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B25"/>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0693"/>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5C7"/>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40A1"/>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B5D"/>
    <w:rsid w:val="00F57316"/>
    <w:rsid w:val="00F577C7"/>
    <w:rsid w:val="00F57822"/>
    <w:rsid w:val="00F57DC0"/>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A91"/>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6C0"/>
    <w:rsid w:val="00FD0AAD"/>
    <w:rsid w:val="00FD0E9C"/>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10CB93C-A346-4025-8AD1-EFDAB1BC4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0C72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59835225">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13104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16075177">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17979344">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70866359">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2C181-FD3B-4E1E-9E51-25E7EA71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TotalTime>
  <Pages>2</Pages>
  <Words>532</Words>
  <Characters>2682</Characters>
  <Application>Microsoft Office Word</Application>
  <DocSecurity>0</DocSecurity>
  <Lines>63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Xu, Tao</cp:lastModifiedBy>
  <cp:revision>5</cp:revision>
  <cp:lastPrinted>2013-01-18T22:27:00Z</cp:lastPrinted>
  <dcterms:created xsi:type="dcterms:W3CDTF">2018-02-18T06:36:00Z</dcterms:created>
  <dcterms:modified xsi:type="dcterms:W3CDTF">2018-02-19T16:52:00Z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e918ebe5-a330-49c3-88a5-864ae0c4143b</vt:lpwstr>
  </property>
  <property fmtid="{D5CDD505-2E9C-101B-9397-08002B2CF9AE}" pid="12" name="CTP_BU">
    <vt:lpwstr>NEXT GEN AND STANDARDS GROUP</vt:lpwstr>
  </property>
  <property fmtid="{D5CDD505-2E9C-101B-9397-08002B2CF9AE}" pid="13" name="CTP_TimeStamp">
    <vt:lpwstr>2018-02-19 16:52:04Z</vt:lpwstr>
  </property>
  <property fmtid="{D5CDD505-2E9C-101B-9397-08002B2CF9AE}" pid="14" name="_ReviewingToolsShownOnce">
    <vt:lpwstr/>
  </property>
  <property fmtid="{D5CDD505-2E9C-101B-9397-08002B2CF9AE}" pid="15" name="CTPClassification">
    <vt:lpwstr>CTP_IC</vt:lpwstr>
  </property>
</Properties>
</file>